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9A" w:rsidRPr="00AF1B8B" w:rsidRDefault="0006539A" w:rsidP="00AF1B8B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 w:rsidRPr="00AF1B8B">
        <w:rPr>
          <w:rFonts w:ascii="Bookman Old Style" w:hAnsi="Bookman Old Style"/>
          <w:b/>
          <w:sz w:val="24"/>
          <w:szCs w:val="24"/>
        </w:rPr>
        <w:t>KÖRÖSLADÁNY VÁROS ÖNKORMÁNYZATÁNAK KÖZÉP- ÉS HOSSZÚ TÁVÚ</w:t>
      </w:r>
    </w:p>
    <w:p w:rsidR="0006539A" w:rsidRPr="00AF1B8B" w:rsidRDefault="0006539A" w:rsidP="00AF1B8B">
      <w:pPr>
        <w:pStyle w:val="PlainText"/>
        <w:jc w:val="center"/>
        <w:rPr>
          <w:rFonts w:ascii="Bookman Old Style" w:hAnsi="Bookman Old Style"/>
          <w:b/>
          <w:sz w:val="24"/>
          <w:szCs w:val="24"/>
        </w:rPr>
      </w:pPr>
      <w:r w:rsidRPr="00AF1B8B">
        <w:rPr>
          <w:rFonts w:ascii="Bookman Old Style" w:hAnsi="Bookman Old Style"/>
          <w:b/>
          <w:sz w:val="24"/>
          <w:szCs w:val="24"/>
        </w:rPr>
        <w:t>VAGYONGAZDÁLKODÁSI TERVE (TERVEZET)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1. KÖRÖSLADÁNY VÁROS ÖNKORMÁNYZATÁNAK STRATÉGIAI CÉLJAI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1.1. KÖRÖSLADÁNY VÁROS ÖNKORMÁNYZATÁNAK KÖZÉPTÁVÚ VAGYONGAZDÁLKODÁSI TERVE: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1) Az önkormányzati vagyonnal felelős módon, rendeltetésszerűen kell gazdálkodni.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2) A vagyongazdálkodás feladata az önkormányzat teherbíró képességéhez igazodó, elsődlegesen a közfeladatok ellátásához és a mindenkori társadalmi szükségletek kielégítéséhez szükséges, egységes elveken alapuló, átlátható, hatékony és költségtakarékos működtetése, értékének megőrzése, állagának védelme, értéknövelő használata, hasznosítása, gyarapítása, továbbá a feleslegessé váló vagyontárgyak elidegenítése.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3) Az önkormányzati vagyonfejlesztés céljait a Képviselő-testület döntései és az éves költségvetési rendelet határozza meg.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4) Az önkormányzati vagyon hasznosításának alternatívái: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a) A feladat ellátásához nem szükséges vagyon értékesítése: a rendelkezésre álló szabad vagyon értékesítését, a vagyonrendelet előírásai szerint, a nemzeti vagyonról szóló 2011. évi CXCVI. törvény alapján kell lefolytatni.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b) Használatba-adás, bérbeadás: A lakás és nem lakáscélú helyiségek hasznosítása elsősorban bérleti szerződés keretében tehető meg. A bérlet útján nem hasznosított ingatlan esetében törekedni kell arra, hogy minél rövidebb ideig legyen kihasználatlan állapotban, ezért folyamatos pályáztatás szükséges. A bérleti díjakat a piaci viszonyoknak megfelelően kell megállapítani. Törekedni kell arra, hogy a bérleti díjak, lakbérek fedezetet nyújtsanak az ingatlan karbantartására, felújítására és az üzemeltetési költségekre.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1.2. KÖRÖSLADÁNY VÁROS ÖNKORMÁNYZATÁNAK HOSSZÚTÁVÚ VAGYONGAZDÁLKODÁSI TERVE: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1) A középtávra meghirdetett feladatok ellátása. </w:t>
      </w: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2) A vagyonhasznosítás során a bevételszerzés, illetve a kiadáscsökkentés mellett szem előtt kell tartani azt, hogy ne vagyonfelélést eredményezzen. A piaci helyzet ismeretében évente felül kell vizsgálni az értékesítendő, valamint a más módon hasznosítható vagyonelemeket. </w:t>
      </w:r>
      <w:r>
        <w:rPr>
          <w:rFonts w:ascii="Bookman Old Style" w:hAnsi="Bookman Old Style"/>
          <w:sz w:val="24"/>
          <w:szCs w:val="24"/>
        </w:rPr>
        <w:t>Ingatlan értékesítés esetében a vagyont mielőbb más ingatlan vásárlásával pótolni kell figyelembe véve a Gazdasági Programban meghatározott fejlesztési elképzeléseket.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3) A vagyonhasznosítás bevételeit minél nagyobb arányban a vagyontárgyak </w:t>
      </w:r>
      <w:r>
        <w:rPr>
          <w:rFonts w:ascii="Bookman Old Style" w:hAnsi="Bookman Old Style"/>
          <w:sz w:val="24"/>
          <w:szCs w:val="24"/>
        </w:rPr>
        <w:t xml:space="preserve">megóvására, megújítására, energia racionalizálásra </w:t>
      </w:r>
      <w:r w:rsidRPr="00376786">
        <w:rPr>
          <w:rFonts w:ascii="Bookman Old Style" w:hAnsi="Bookman Old Style"/>
          <w:sz w:val="24"/>
          <w:szCs w:val="24"/>
        </w:rPr>
        <w:t xml:space="preserve">kell fordítani. </w:t>
      </w: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4) </w:t>
      </w:r>
      <w:r>
        <w:rPr>
          <w:rFonts w:ascii="Bookman Old Style" w:hAnsi="Bookman Old Style"/>
          <w:sz w:val="24"/>
          <w:szCs w:val="24"/>
        </w:rPr>
        <w:t xml:space="preserve">A jelenleg állami tulajdonban lévő 0241/10 hrsz. alatti ingatlan tulajdonjogának ingyenes önkormányzati tulajdonba adása esetén pályázati források felhasználásával </w:t>
      </w:r>
      <w:r w:rsidRPr="00376786">
        <w:rPr>
          <w:rFonts w:ascii="Bookman Old Style" w:hAnsi="Bookman Old Style"/>
          <w:sz w:val="24"/>
          <w:szCs w:val="24"/>
        </w:rPr>
        <w:t xml:space="preserve">elsősorban szálláslehetőség </w:t>
      </w:r>
      <w:r>
        <w:rPr>
          <w:rFonts w:ascii="Bookman Old Style" w:hAnsi="Bookman Old Style"/>
          <w:sz w:val="24"/>
          <w:szCs w:val="24"/>
        </w:rPr>
        <w:t>kialakítása, hozzá kapcsolódóan pedig egy kishajó kikötő és strand kialakítás is cél.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5) Növelni kell az önkormányzati tulajdonú mezőgazdasági területek nagyságát.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2. JOGI ÉS TÁRSADALMI KÖRNYEZET BEMUTATÁSA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2.1. JOGI SZABÁLYOZÁS VÁLTOZÁSAI: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>a) Magyarország Alaptörvényének 2012. január 1-i hatálybalépésével egyidejűleg jelentős jogszabályi változások történtek, amelyeknek a nagy része érinti és lényegese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76786">
        <w:rPr>
          <w:rFonts w:ascii="Bookman Old Style" w:hAnsi="Bookman Old Style"/>
          <w:sz w:val="24"/>
          <w:szCs w:val="24"/>
        </w:rPr>
        <w:t xml:space="preserve">meghatározza az önkormányzat gazdálkodását.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b) A nemzeti vagyonról szóló 2011. évi CXCVI. törvény (továbbiakban: Nvtv.) 7. § (1)-(2) bekezdése szerint a nemzeti vagyon, ezen belül az önkormányzati vagyon alapvető rendeltetése a közfeladat ellátásának biztosítása. Az Nvtv. előírja a közép- és hosszú távú vagyongazdálkodási terv elkészítését, melyben az önkormányzatnak meg kell jelölnie a vagyongazdálkodás irányvonalát, stratégiát kell felállítania, hogy a célkitűzések végrehajthatóak legyenek.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c) A lakások és helyiségek bérletére, valamint az elidegenítésükre vonatkozó egyes szabályokról szóló 1993. évi LXXVIII. törvény a lakás és helyiséggazdálkodás szabályait tartalmazza azzal, hogy rendelkezik egyes részletszabályok önkormányzati rendeletben történő meghatározásáról is.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2.2. HELYI SZABÁLYOZÁS: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a) Az önkormányzati vagyonról és a vagyongazdálkodás szabályairól szóló </w:t>
      </w:r>
      <w:r>
        <w:rPr>
          <w:rFonts w:ascii="Bookman Old Style" w:hAnsi="Bookman Old Style"/>
          <w:sz w:val="24"/>
          <w:szCs w:val="24"/>
        </w:rPr>
        <w:t>8/2008.(IV.22</w:t>
      </w:r>
      <w:r w:rsidRPr="00376786">
        <w:rPr>
          <w:rFonts w:ascii="Bookman Old Style" w:hAnsi="Bookman Old Style"/>
          <w:sz w:val="24"/>
          <w:szCs w:val="24"/>
        </w:rPr>
        <w:t xml:space="preserve">.) önkormányzati rendelet (a továbbiakban: Vagyonrendelet) hatálya kiterjed Körösladány Város Önkormányzatának (a továbbiakban: Önkormányzat) tulajdonában lévő, és tulajdonába kerülő ingatlan és ingó vagyonra, valamint vagyoni értékű jogokra, továbbá a tagsági jogot megtestesítő értékpapírokra, a kárpótlási jegyekre, és közhasznú társaságban és gazdasági társaságban az Önkormányzatot megillető egyéb társasági részesedésekre.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 vagyona törzsvagyonból (forgalomképtelen vagy korlátozottan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forgalomképes vagyon) és üzleti vagyonból áll. A vagyontárgyak felsorolását a rendelet 1. 2. és 3. melléklete tartalmazza. A rendelet meghatározza az önkormányzati vagyon feletti tulajdonosi jogok gyakorlásának közös szabályait, ennek megfelelően a tulajdonosi jogokat az Önkormányzat Képviselő-testülete, vagy átruházott hatáskörben </w:t>
      </w:r>
      <w:r>
        <w:rPr>
          <w:rFonts w:ascii="Bookman Old Style" w:hAnsi="Bookman Old Style"/>
          <w:sz w:val="24"/>
          <w:szCs w:val="24"/>
        </w:rPr>
        <w:t xml:space="preserve">Gazdasági és Pénzügyi Bizottság illetve a </w:t>
      </w:r>
      <w:r w:rsidRPr="00376786">
        <w:rPr>
          <w:rFonts w:ascii="Bookman Old Style" w:hAnsi="Bookman Old Style"/>
          <w:sz w:val="24"/>
          <w:szCs w:val="24"/>
        </w:rPr>
        <w:t xml:space="preserve">polgármester gyakorolja. A rendelet ezen túlmenően meghatározza az önkormányzati vagyonnal való gazdálkodás általános szabályait, az önkormányzati vagyon hasznosításának, haszonélvezeti jog alapításának, tulajdonjogának átruházására vonatkozó speciális szabályokat. A rendelet rendelkezik az önkormányzati vagyon kezelésének szabályairól (vagyonkezelői jog alapítása, gyakorlása, ellenértéke, vagyonkezelés ellenőrzése).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 rendeletben speciális elemként jelenik meg a civil szervezetek támogatásra vonatkozó szabályozás. A képviselő-testület egyedi határozat vagy pályázati rendszer alapján támogatást nyújthat a városban működő civil szervezetek, egyházak, sportegyesületek részére.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b) Az önkormányzati lakások és helyiségek bérletéről, valamint elidegenítésükre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vonatkozó egyes szabályokról szóló </w:t>
      </w:r>
      <w:r>
        <w:rPr>
          <w:rFonts w:ascii="Bookman Old Style" w:hAnsi="Bookman Old Style"/>
          <w:sz w:val="24"/>
          <w:szCs w:val="24"/>
        </w:rPr>
        <w:t>5/2001.(V.1</w:t>
      </w:r>
      <w:r w:rsidRPr="00376786">
        <w:rPr>
          <w:rFonts w:ascii="Bookman Old Style" w:hAnsi="Bookman Old Style"/>
          <w:sz w:val="24"/>
          <w:szCs w:val="24"/>
        </w:rPr>
        <w:t xml:space="preserve">6.) önkormányzati rendelet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határozza meg az önkormányzat tulajdonában lévő lakások – beleértve a szükséglakást is –, továbbá a nem lakás céljára szolgáló helyiségek - kivéve az intézmények használatában lévő helyiségek - bérletére és elidegenítésére vonatkozó általános és speciális szabályokat. </w:t>
      </w: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>A rendelet célja, hogy a polgári jog alapelveit szem előtt tartva megteremtse az önkormányzat tulajdonában lévő lakásokkal való eredményesebb gazdálkodás feltételeit. A lakásbérletekkel kapcsolatosan a bérbeadási jogkör gyakorlója a Képviselő-</w:t>
      </w:r>
      <w:r>
        <w:rPr>
          <w:rFonts w:ascii="Bookman Old Style" w:hAnsi="Bookman Old Style"/>
          <w:sz w:val="24"/>
          <w:szCs w:val="24"/>
        </w:rPr>
        <w:t>testület jo</w:t>
      </w:r>
      <w:r w:rsidRPr="00376786">
        <w:rPr>
          <w:rFonts w:ascii="Bookman Old Style" w:hAnsi="Bookman Old Style"/>
          <w:sz w:val="24"/>
          <w:szCs w:val="24"/>
        </w:rPr>
        <w:t>gosult eljárni. A lakások bérbeadása történhet szociális alapon, piaci alapon és szakember elhelyezése céljából</w:t>
      </w:r>
      <w:r>
        <w:rPr>
          <w:rFonts w:ascii="Bookman Old Style" w:hAnsi="Bookman Old Style"/>
          <w:sz w:val="24"/>
          <w:szCs w:val="24"/>
        </w:rPr>
        <w:t xml:space="preserve"> (un. szolgálati lakás)</w:t>
      </w:r>
      <w:r w:rsidRPr="00376786">
        <w:rPr>
          <w:rFonts w:ascii="Bookman Old Style" w:hAnsi="Bookman Old Style"/>
          <w:sz w:val="24"/>
          <w:szCs w:val="24"/>
        </w:rPr>
        <w:t xml:space="preserve">. Ezek részletes szabályait a rendelet tartalmazza. </w:t>
      </w:r>
      <w:r>
        <w:rPr>
          <w:rFonts w:ascii="Bookman Old Style" w:hAnsi="Bookman Old Style"/>
          <w:sz w:val="24"/>
          <w:szCs w:val="24"/>
        </w:rPr>
        <w:t>Az egyéb helyiségeket piaci alapon a Polgármester jogosult bérbeadni.</w:t>
      </w:r>
    </w:p>
    <w:p w:rsidR="0006539A" w:rsidRPr="005C13F2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c) Az önkormányzat tulajdonában lévő vagyonnal (ingatlan, ingó, vagyonértékű jog) kapcsolatosan további rendelkezéseket a teljesség igénye nélkül az alábbi </w:t>
      </w:r>
      <w:r w:rsidRPr="005C13F2">
        <w:rPr>
          <w:rFonts w:ascii="Bookman Old Style" w:hAnsi="Bookman Old Style"/>
          <w:sz w:val="24"/>
          <w:szCs w:val="24"/>
        </w:rPr>
        <w:t xml:space="preserve">rendeletek tartalmaznak: </w:t>
      </w:r>
    </w:p>
    <w:p w:rsidR="0006539A" w:rsidRPr="005C13F2" w:rsidRDefault="0006539A" w:rsidP="005C13F2">
      <w:pPr>
        <w:jc w:val="both"/>
        <w:rPr>
          <w:rFonts w:ascii="Bookman Old Style" w:hAnsi="Bookman Old Style"/>
        </w:rPr>
      </w:pPr>
      <w:r w:rsidRPr="005C13F2">
        <w:rPr>
          <w:rFonts w:ascii="Bookman Old Style" w:hAnsi="Bookman Old Style"/>
        </w:rPr>
        <w:t>- A közterület használatáról szóló 13/2008.(VI.25.) önkormányzati rendelet, közterületi használati díjakról a 12</w:t>
      </w:r>
      <w:r w:rsidRPr="005C13F2">
        <w:rPr>
          <w:rFonts w:ascii="Bookman Old Style" w:hAnsi="Bookman Old Style"/>
          <w:vanish/>
        </w:rPr>
        <w:t>i ___</w:t>
      </w:r>
      <w:r w:rsidRPr="005C13F2">
        <w:rPr>
          <w:rFonts w:ascii="Bookman Old Style" w:hAnsi="Bookman Old Style"/>
        </w:rPr>
        <w:t xml:space="preserve">/2012.(X.24.) önkormányzati rendelet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Körösladány Város szabályozási tervéről, valamint építési szabályzatáról szóló </w:t>
      </w:r>
      <w:r>
        <w:rPr>
          <w:rFonts w:ascii="Bookman Old Style" w:hAnsi="Bookman Old Style"/>
          <w:sz w:val="24"/>
          <w:szCs w:val="24"/>
        </w:rPr>
        <w:t>10/2007.(VII</w:t>
      </w:r>
      <w:r w:rsidRPr="00376786"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>2</w:t>
      </w:r>
      <w:r w:rsidRPr="00376786">
        <w:rPr>
          <w:rFonts w:ascii="Bookman Old Style" w:hAnsi="Bookman Old Style"/>
          <w:sz w:val="24"/>
          <w:szCs w:val="24"/>
        </w:rPr>
        <w:t>7.) önkormányzati rendelet</w:t>
      </w:r>
      <w:r>
        <w:rPr>
          <w:rFonts w:ascii="Bookman Old Style" w:hAnsi="Bookman Old Style"/>
          <w:sz w:val="24"/>
          <w:szCs w:val="24"/>
        </w:rPr>
        <w:t>.</w:t>
      </w:r>
      <w:r w:rsidRPr="00376786">
        <w:rPr>
          <w:rFonts w:ascii="Bookman Old Style" w:hAnsi="Bookman Old Style"/>
          <w:sz w:val="24"/>
          <w:szCs w:val="24"/>
        </w:rPr>
        <w:t xml:space="preserve">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2.3. TÁRSADALMI-GAZDASÁGI KÖRNYEZET VÁLTOZÁSA: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 közfeladat ellátási rendszer folyamatban lévő átalakítása az önkormányzati rendszert is érinti. Önkormányzati szinten fel kell készülni arra, hogyha az állam több feladatot is a járási hivatalokhoz delegál, ebben az esetben valószínűsíthető, hogy a működésre szolgáló vagyont is át kell adni a feladatellátással együtt. Az utóbbi időben bevezetett szigorú gazdasági intézkedések, központi költségvetési támogatások csökkentése, egyes támogatások megvonása következtében a rendelkezésre álló forrásokból csak részlegesen lehet a feladatok teljesítését megvalósítani. Ezért a vagyongazdálkodás egyik meghatározó feladata a kiesett támogatások pótlása.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 VAGYONELEMEK CSOPORTOSÍTÁSA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 tulajdona az önkormányzati célok megvalósítását szolgálja. Az önkormányzati törvény alapján a vagyon két főcsoportba és három alcsoportba sorolható, ami a rendelkezési, hasznosítási lehetőségeket is korlátok közé helyezi. A főcsoportokat a törzsvagyon és az egyéb vagyonelemek alkotják. A törzsvagyonba a forgalomképtelen és a korlátozottan forgalomképes, az egyéb (üzleti) vagyonba a forgalomképes vagyonelemek tartoznak. A vagyon forgalomképességének korlátozását az indokolja, hogy az önkormányzat kötelező feladatainak ellátásához szükséges ingatlanok az Önkormányzat tulajdonában maradjanak.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3.1. TÖRZSVAGYON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3.1.1. Forgalomképtelen törzsvagyon: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 forgalomképtelen törzsvagyont az önkormányzatnak meg kell tartani, és a megfelelő fenntartásról gondoskodni kell. A törzsvagyon forgalomképtelen része nem idegeníthető el, vagyonkezelői jog, jogszabályon alapuló használati jog vagy szolgalom kivételével nem terhelhető meg. Az önkormányzat forgalomképtelen törzsvagyonának felsorolását a Vagyonrendelet 1. számú melléklete tartalmazza.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Nvtv. meghatározza a forgalomképtelen törzsvagyon körébe tartozó vagyonelemek csoportját: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a) kizárólagos tulajdonban lévő vagyon (helyi közutak és műtárgyaik, a helyi önkormányzat tulajdonában álló járdák, terek és parkok, a vizek és vízi közműnek nem minősülő közcélú vízi létesítmények);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b) nemzetgazdasági szempontból kiemelt jelentőségű nemzeti vagyon (ilyen besorolású ingatlant a Vagyonrendeletben nem különítettünk el);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c) helyi döntés alapján forgalomképtelen vagyon (Az önkormányzat Képviselő-testületi döntés alapján is forgalomképtelennek minősíthet bizonyos vagyonelemeket.).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3.1.2. Korlátozottan forgalomképes törzsvagyon: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önkormányzati törzsvagyon második eleme az a vagyonrész, melyet törvény, vagy önkormányzati rendelet korlátozottan forgalomképes vagyonként állapít meg. A Vagyonrendelet alapján a korlátozottan forgalomképes vagyont elidegeníteni vagy rendeltetésétől eltérő célra hasznosítani a képviselő-testület minősített többségű döntése alapján csak akkor lehet, ha az önkormányzati feladat ellátásához már nem szükséges vagy a feladat ellátása más módon is biztosítható, és a vagyontárgy értékesítése, más célú hasznosítása nem veszélyezteti az önkormányzat kötelező feladatainak ellátását. A vagyonelemek felsorolását a vagyonrendelet 2. számú melléklete tartalmazza.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Korlátozottan forgalomképes törzsvagyon körébe tartoznak: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az intézmények, a középületek;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a műemlékek, a védett természeti területek, a muzeális emlékek;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76786">
        <w:rPr>
          <w:rFonts w:ascii="Bookman Old Style" w:hAnsi="Bookman Old Style"/>
          <w:sz w:val="24"/>
          <w:szCs w:val="24"/>
        </w:rPr>
        <w:t xml:space="preserve">mindazok az ingatlanok és ingó dolgok, amelyeket az önkormányzat rendeletében korlátozottan forgalomképesnek minősít.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3.2. FORGALOMKÉPES EGYÉB (ÜZLETI) VAGYON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Forgalomképes egyéb vagyontárgyak körébe tartoznak mindazok az ingatlanok és ingó dolgok, amelyeket a törvények vagy rendeletek nem sorolnak a törzsvagyonba. A forgalomképes (üzleti) vagyon felett az Önkormányzat rendelkezik.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Forgalomképes egyéb vagyon körébe tartoznak: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bérlakások;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nem lakás céljára szolgáló helyiségek;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részesedések;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- és egyéb vagyon.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3.2.1. Lakásgazdálkodás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Önkormányzatnak </w:t>
      </w:r>
      <w:r>
        <w:rPr>
          <w:rFonts w:ascii="Bookman Old Style" w:hAnsi="Bookman Old Style"/>
          <w:sz w:val="24"/>
          <w:szCs w:val="24"/>
        </w:rPr>
        <w:t>43</w:t>
      </w:r>
      <w:r w:rsidRPr="00376786">
        <w:rPr>
          <w:rFonts w:ascii="Bookman Old Style" w:hAnsi="Bookman Old Style"/>
          <w:sz w:val="24"/>
          <w:szCs w:val="24"/>
        </w:rPr>
        <w:t xml:space="preserve"> db lakás van a tulajdonában, melyet bérbeadással hasznosít.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 bérbeadás történhet szociális alapon, a rászorult családok részére, történhet piaci alapon, magasabb jövedelmű lakásproblémával küzdő családok részére, továbbá szakember-elhelyezés céljából is.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Szakember elhelyezéssel történő bérbeadás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Körösladány város közigazgatási területén lévő intézmények, az önkormányzat szervei, valamint a városban közfeladatot ellátó szervek megfelelő szakemberellátása érdekében bérbeadási névjegyzék mellőzésével, – jövedelmi, vagyoni és szociális helyzettől függetlenül – a szociálisan bérbe adható lakások köréből lakás biztosítható annak a szakembernek, akinek alkalmazása a kötelező feladat ellátásához feltétlenül indokolt.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Lakások értékesítése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 tulajdonában álló lakások többsége </w:t>
      </w:r>
      <w:r>
        <w:rPr>
          <w:rFonts w:ascii="Bookman Old Style" w:hAnsi="Bookman Old Style"/>
          <w:sz w:val="24"/>
          <w:szCs w:val="24"/>
        </w:rPr>
        <w:t>régi, gazdaságosan nem felújítható.</w:t>
      </w:r>
      <w:r w:rsidRPr="00376786">
        <w:rPr>
          <w:rFonts w:ascii="Bookman Old Style" w:hAnsi="Bookman Old Style"/>
          <w:sz w:val="24"/>
          <w:szCs w:val="24"/>
        </w:rPr>
        <w:t xml:space="preserve"> Célszerű lenne </w:t>
      </w:r>
      <w:r>
        <w:rPr>
          <w:rFonts w:ascii="Bookman Old Style" w:hAnsi="Bookman Old Style"/>
          <w:sz w:val="24"/>
          <w:szCs w:val="24"/>
        </w:rPr>
        <w:t xml:space="preserve">ezen lakások </w:t>
      </w:r>
      <w:r w:rsidRPr="00376786">
        <w:rPr>
          <w:rFonts w:ascii="Bookman Old Style" w:hAnsi="Bookman Old Style"/>
          <w:sz w:val="24"/>
          <w:szCs w:val="24"/>
        </w:rPr>
        <w:t xml:space="preserve">értékesítése (megüresedésük esetén), amelyek olyan </w:t>
      </w:r>
      <w:r>
        <w:rPr>
          <w:rFonts w:ascii="Bookman Old Style" w:hAnsi="Bookman Old Style"/>
          <w:sz w:val="24"/>
          <w:szCs w:val="24"/>
        </w:rPr>
        <w:t>területen fekszik amely nem érintett önkormányzati fejlesztéssel. A befolyó bevételt csakis lakás, telek vásárlására, illetve a meglévő lakások felújítására, fenntartására vagy korszerűsítésére lehetne felhasználni.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Nem lakás céljára szolgáló helyiségek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Törekedni kell arra, hogy a helyiségeket maradéktalanul hasznosítsuk, vagy bérbeadás, vagy ingyenes haszonkölcsön útján. A fizetési kötelezettségüknek maradéktalanul eleget tevő bérlőket meg kell tartani, átmeneti fizetési nehézség esetén az infláció mértékétől történő bérleti-díj csökkentést alkalmazzuk. Azon helyiségeket, melyeket bérbeadással, vagy ingyenes használatba adással sem tudunk hasznosítani, valamint rossz hatékonyságúak és nagy költségráfordítással üzemeltethetőek, azokat értékesíteni kell. A bérleti díjakat differenciáltan kell meghatározni, figyelembe véve a piaci viszonyokat is.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Üzletek bérbeadása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 nem lakás céljára szolgáló helyiségek (üzletek, garázsok, egyéb épületek) hasznosítása bérbeadás útján történik.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3.2.2.2. Egyéb ingatlanok bérbeadása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 tulajdonában álló, műhelyek, raktárak, mezőgazdasági művelésre alkalmas külterületi szántók, zártkertek hasznosítása bérbeadás útján történik.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 3.2.2.3. Egyéb ingatlanok ingyenes használatba adása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Az Önkormányzat civil szervezetek, sportegyesületek részére ingyenesen elhelyezést biztosít az üresen álló, más célra nem hasznosítható ingatlanokban, segítve ezzel a szervezetek működését, tevékenységét.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Egyéb ingatlanok értékesítése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>A város</w:t>
      </w:r>
      <w:r>
        <w:rPr>
          <w:rFonts w:ascii="Bookman Old Style" w:hAnsi="Bookman Old Style"/>
          <w:sz w:val="24"/>
          <w:szCs w:val="24"/>
        </w:rPr>
        <w:t xml:space="preserve">ban található önkormányzati tulajdonú ingatlanok esetében </w:t>
      </w:r>
      <w:r w:rsidRPr="00376786">
        <w:rPr>
          <w:rFonts w:ascii="Bookman Old Style" w:hAnsi="Bookman Old Style"/>
          <w:sz w:val="24"/>
          <w:szCs w:val="24"/>
        </w:rPr>
        <w:t xml:space="preserve">nagyobb értékű ingatlanok, melyek hasznosítása hosszabb távon nem megoldott, az ingatlan állaga jelentős ráfordítást igényel, azok esetében gazdaságosabb lenne az értékesítésük. </w:t>
      </w:r>
      <w:r>
        <w:rPr>
          <w:rFonts w:ascii="Bookman Old Style" w:hAnsi="Bookman Old Style"/>
          <w:sz w:val="24"/>
          <w:szCs w:val="24"/>
        </w:rPr>
        <w:t>Ez esetben a befolyó bevétel csakis ingatlan vásárlásra használható fel.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4. PÁLYÁZATOK 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 w:rsidRPr="00376786">
        <w:rPr>
          <w:rFonts w:ascii="Bookman Old Style" w:hAnsi="Bookman Old Style"/>
          <w:sz w:val="24"/>
          <w:szCs w:val="24"/>
        </w:rPr>
        <w:t xml:space="preserve">Fontos az Önkormányzat vagyonát jelentő intézmények költséghatékonyabb működtetése, az infrastruktúra fejlesztése, az idegenforgalom-barát befektetések, az ipartelepítés, a foglalkoztatás-bővítés, valamint az oktatási, egészségügyi szociális, kulturális, sport, szabadidős közszolgáltatások színvonalának emelése. Ennek érdekében az Önkormányzat kiemelt figyelemmel kíséri a pályázati kiírásokat, törekszik a fenti célok megvalósítására. A vagyongazdálkodás távlati célja az önkormányzat vagyonából származó jövedelmének növelése, a fejlesztési források megteremtése, gyarapítása. </w:t>
      </w: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Körösladány, 2013. június 17.</w:t>
      </w: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</w:p>
    <w:p w:rsidR="0006539A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Kardos Károly</w:t>
      </w:r>
    </w:p>
    <w:p w:rsidR="0006539A" w:rsidRPr="00376786" w:rsidRDefault="0006539A" w:rsidP="00376786">
      <w:pPr>
        <w:pStyle w:val="PlainText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polgármester</w:t>
      </w:r>
    </w:p>
    <w:sectPr w:rsidR="0006539A" w:rsidRPr="00376786" w:rsidSect="00FD26CD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6CD"/>
    <w:rsid w:val="00021286"/>
    <w:rsid w:val="0006524E"/>
    <w:rsid w:val="0006539A"/>
    <w:rsid w:val="00096FAB"/>
    <w:rsid w:val="001D3D57"/>
    <w:rsid w:val="00376786"/>
    <w:rsid w:val="003C09D9"/>
    <w:rsid w:val="003C5E6B"/>
    <w:rsid w:val="003F153A"/>
    <w:rsid w:val="004F63A0"/>
    <w:rsid w:val="00516D01"/>
    <w:rsid w:val="005C13F2"/>
    <w:rsid w:val="00600B63"/>
    <w:rsid w:val="007019A3"/>
    <w:rsid w:val="0079785E"/>
    <w:rsid w:val="007A5A7C"/>
    <w:rsid w:val="007E0544"/>
    <w:rsid w:val="00962D00"/>
    <w:rsid w:val="009B693A"/>
    <w:rsid w:val="009E1C87"/>
    <w:rsid w:val="00AE4077"/>
    <w:rsid w:val="00AF1B8B"/>
    <w:rsid w:val="00B43123"/>
    <w:rsid w:val="00BC1744"/>
    <w:rsid w:val="00DA63AD"/>
    <w:rsid w:val="00E9194D"/>
    <w:rsid w:val="00F57279"/>
    <w:rsid w:val="00FD26CD"/>
    <w:rsid w:val="00FD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E6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FD26C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9785E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1784</Words>
  <Characters>12315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KÖRÖSLADÁNY VÁROS ÖNKORMÁNYZATÁNAK KÖZÉP- ÉS HOSSZÚ TÁVÚ </dc:title>
  <dc:subject/>
  <dc:creator>Ilyés Lajos</dc:creator>
  <cp:keywords/>
  <dc:description/>
  <cp:lastModifiedBy>Szilvi</cp:lastModifiedBy>
  <cp:revision>2</cp:revision>
  <dcterms:created xsi:type="dcterms:W3CDTF">2013-06-25T08:14:00Z</dcterms:created>
  <dcterms:modified xsi:type="dcterms:W3CDTF">2013-06-25T08:14:00Z</dcterms:modified>
</cp:coreProperties>
</file>